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E9856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泉州济钢高科技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有限公司</w:t>
      </w:r>
    </w:p>
    <w:p w14:paraId="6E9B5DEE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>板材砂</w:t>
      </w: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产品运输服务</w:t>
      </w:r>
    </w:p>
    <w:p w14:paraId="02F40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val="en-US" w:eastAsia="zh-CN"/>
        </w:rPr>
        <w:t xml:space="preserve">编号：1253260611001 </w:t>
      </w:r>
      <w:r>
        <w:rPr>
          <w:rFonts w:hint="eastAsia" w:ascii="方正小标宋简体" w:eastAsia="方正小标宋简体"/>
          <w:b/>
          <w:spacing w:val="-20"/>
          <w:sz w:val="44"/>
          <w:szCs w:val="44"/>
          <w:lang w:eastAsia="zh-CN"/>
        </w:rPr>
        <w:t>）</w:t>
      </w:r>
    </w:p>
    <w:p w14:paraId="0D9B5E5F">
      <w:pPr>
        <w:spacing w:before="156" w:beforeLines="50" w:line="480" w:lineRule="auto"/>
        <w:jc w:val="center"/>
        <w:rPr>
          <w:rFonts w:ascii="仿宋_GB2312" w:eastAsia="仿宋_GB2312"/>
          <w:kern w:val="0"/>
          <w:sz w:val="32"/>
          <w:szCs w:val="32"/>
        </w:rPr>
      </w:pPr>
    </w:p>
    <w:p w14:paraId="1991BBD2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spacing w:val="-20"/>
          <w:sz w:val="44"/>
          <w:szCs w:val="44"/>
        </w:rPr>
        <w:t>竞争性谈判文件</w:t>
      </w:r>
    </w:p>
    <w:p w14:paraId="299DA859">
      <w:pPr>
        <w:spacing w:before="156" w:beforeLines="50" w:line="480" w:lineRule="auto"/>
        <w:jc w:val="center"/>
        <w:rPr>
          <w:rFonts w:ascii="仿宋_GB2312" w:eastAsia="仿宋_GB2312"/>
          <w:b/>
          <w:spacing w:val="-20"/>
          <w:sz w:val="44"/>
          <w:szCs w:val="44"/>
        </w:rPr>
      </w:pPr>
    </w:p>
    <w:p w14:paraId="05109421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39A179FA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65B2C198">
      <w:pPr>
        <w:spacing w:before="156" w:beforeLines="50" w:line="480" w:lineRule="auto"/>
        <w:jc w:val="center"/>
        <w:rPr>
          <w:rFonts w:ascii="方正小标宋简体" w:eastAsia="方正小标宋简体"/>
          <w:b/>
          <w:spacing w:val="-20"/>
          <w:sz w:val="32"/>
          <w:szCs w:val="32"/>
        </w:rPr>
      </w:pPr>
    </w:p>
    <w:p w14:paraId="29AF28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hint="eastAsia" w:ascii="方正小标宋简体" w:hAnsi="仿宋" w:eastAsia="方正小标宋简体"/>
          <w:kern w:val="0"/>
          <w:sz w:val="32"/>
          <w:szCs w:val="32"/>
        </w:rPr>
        <w:t>招标人：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泉州济钢高科技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有限公司</w:t>
      </w:r>
    </w:p>
    <w:p w14:paraId="668999BF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  <w:r>
        <w:rPr>
          <w:rFonts w:ascii="方正小标宋简体" w:hAnsi="仿宋" w:eastAsia="方正小标宋简体"/>
          <w:kern w:val="0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月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val="en-US" w:eastAsia="zh-CN"/>
        </w:rPr>
        <w:t>9</w:t>
      </w:r>
      <w:r>
        <w:rPr>
          <w:rFonts w:hint="eastAsia" w:ascii="方正小标宋简体" w:hAnsi="仿宋" w:eastAsia="方正小标宋简体"/>
          <w:kern w:val="0"/>
          <w:sz w:val="32"/>
          <w:szCs w:val="32"/>
          <w:lang w:eastAsia="zh"/>
        </w:rPr>
        <w:t xml:space="preserve"> </w:t>
      </w:r>
      <w:r>
        <w:rPr>
          <w:rFonts w:hint="eastAsia" w:ascii="方正小标宋简体" w:hAnsi="仿宋" w:eastAsia="方正小标宋简体"/>
          <w:kern w:val="0"/>
          <w:sz w:val="32"/>
          <w:szCs w:val="32"/>
        </w:rPr>
        <w:t>日</w:t>
      </w:r>
    </w:p>
    <w:p w14:paraId="15016B6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FAEA37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7F6836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1AEA77E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78D090B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0E4E7129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FF5264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7FE41AC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898B65A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7361D5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3EFA1241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9902AA8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23CF348E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664F9DC6">
      <w:pPr>
        <w:widowControl/>
        <w:tabs>
          <w:tab w:val="left" w:leader="underscore" w:pos="3534"/>
          <w:tab w:val="left" w:leader="underscore" w:pos="4557"/>
          <w:tab w:val="left" w:leader="underscore" w:pos="5490"/>
        </w:tabs>
        <w:spacing w:line="400" w:lineRule="exact"/>
        <w:jc w:val="center"/>
        <w:rPr>
          <w:rFonts w:ascii="方正小标宋简体" w:hAnsi="仿宋" w:eastAsia="方正小标宋简体"/>
          <w:kern w:val="0"/>
          <w:sz w:val="32"/>
          <w:szCs w:val="32"/>
        </w:rPr>
      </w:pPr>
    </w:p>
    <w:p w14:paraId="454B0CF6">
      <w:pPr>
        <w:pStyle w:val="4"/>
        <w:tabs>
          <w:tab w:val="right" w:leader="dot" w:pos="8296"/>
        </w:tabs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kern w:val="0"/>
          <w:sz w:val="44"/>
          <w:szCs w:val="44"/>
        </w:rPr>
        <w:t>目      录</w:t>
      </w:r>
    </w:p>
    <w:p w14:paraId="037D2BA9">
      <w:pPr>
        <w:pStyle w:val="4"/>
        <w:tabs>
          <w:tab w:val="right" w:leader="dot" w:pos="8296"/>
        </w:tabs>
        <w:rPr>
          <w:rFonts w:ascii="方正小标宋简体" w:eastAsia="方正小标宋简体"/>
          <w:kern w:val="0"/>
          <w:sz w:val="32"/>
          <w:szCs w:val="32"/>
        </w:rPr>
      </w:pPr>
    </w:p>
    <w:p w14:paraId="1E27B832">
      <w:pPr>
        <w:pStyle w:val="4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fldChar w:fldCharType="begin"/>
      </w:r>
      <w:r>
        <w:rPr>
          <w:rFonts w:hint="eastAsia" w:ascii="宋体" w:hAnsi="宋体" w:cs="宋体"/>
          <w:kern w:val="0"/>
          <w:sz w:val="36"/>
          <w:szCs w:val="36"/>
        </w:rPr>
        <w:instrText xml:space="preserve">TOC \o "1-1" \h \u </w:instrText>
      </w:r>
      <w:r>
        <w:rPr>
          <w:rFonts w:hint="eastAsia" w:ascii="宋体" w:hAnsi="宋体" w:cs="宋体"/>
          <w:kern w:val="0"/>
          <w:sz w:val="36"/>
          <w:szCs w:val="36"/>
        </w:rPr>
        <w:fldChar w:fldCharType="separate"/>
      </w:r>
      <w:r>
        <w:fldChar w:fldCharType="begin"/>
      </w:r>
      <w:r>
        <w:instrText xml:space="preserve"> HYPERLINK \l "_Toc19857"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第一章  竞争性谈判公告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</w:rPr>
        <w:fldChar w:fldCharType="begin"/>
      </w:r>
      <w:r>
        <w:rPr>
          <w:rFonts w:hint="eastAsia" w:ascii="宋体" w:hAnsi="宋体" w:cs="宋体"/>
          <w:sz w:val="36"/>
          <w:szCs w:val="36"/>
        </w:rPr>
        <w:instrText xml:space="preserve"> PAGEREF _Toc19857 \h </w:instrText>
      </w:r>
      <w:r>
        <w:rPr>
          <w:rFonts w:hint="eastAsia" w:ascii="宋体" w:hAnsi="宋体" w:cs="宋体"/>
          <w:sz w:val="36"/>
          <w:szCs w:val="36"/>
        </w:rPr>
        <w:fldChar w:fldCharType="separate"/>
      </w:r>
      <w:r>
        <w:rPr>
          <w:rFonts w:hint="eastAsia" w:ascii="宋体" w:hAnsi="宋体" w:cs="宋体"/>
          <w:sz w:val="36"/>
          <w:szCs w:val="36"/>
        </w:rPr>
        <w:t>3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6FCFBF98">
      <w:pPr>
        <w:pStyle w:val="4"/>
        <w:tabs>
          <w:tab w:val="right" w:leader="dot" w:pos="8306"/>
        </w:tabs>
        <w:rPr>
          <w:rFonts w:ascii="宋体" w:hAnsi="宋体" w:cs="宋体"/>
          <w:sz w:val="36"/>
          <w:szCs w:val="36"/>
        </w:rPr>
      </w:pPr>
      <w:r>
        <w:fldChar w:fldCharType="begin"/>
      </w:r>
      <w:r>
        <w:instrText xml:space="preserve"> HYPERLINK \l "_Toc31274"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 xml:space="preserve">第二章 </w:t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 w:cs="宋体"/>
          <w:sz w:val="36"/>
          <w:szCs w:val="36"/>
        </w:rPr>
        <w:t>参与人须知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7</w:t>
      </w:r>
      <w:r>
        <w:rPr>
          <w:rFonts w:hint="eastAsia" w:ascii="宋体" w:hAnsi="宋体" w:cs="宋体"/>
          <w:sz w:val="36"/>
          <w:szCs w:val="36"/>
        </w:rPr>
        <w:fldChar w:fldCharType="end"/>
      </w:r>
    </w:p>
    <w:p w14:paraId="237B4798">
      <w:pPr>
        <w:pStyle w:val="4"/>
        <w:tabs>
          <w:tab w:val="right" w:leader="dot" w:pos="8306"/>
        </w:tabs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fldChar w:fldCharType="begin"/>
      </w:r>
      <w:r>
        <w:instrText xml:space="preserve"> HYPERLINK \l "_Toc517" </w:instrText>
      </w:r>
      <w:r>
        <w:fldChar w:fldCharType="separate"/>
      </w:r>
      <w:r>
        <w:rPr>
          <w:rFonts w:hint="eastAsia" w:ascii="宋体" w:hAnsi="宋体" w:cs="宋体"/>
          <w:sz w:val="36"/>
          <w:szCs w:val="36"/>
        </w:rPr>
        <w:t>第三章  合同及附件</w:t>
      </w:r>
      <w:r>
        <w:rPr>
          <w:rFonts w:hint="eastAsia" w:ascii="宋体" w:hAnsi="宋体" w:cs="宋体"/>
          <w:sz w:val="36"/>
          <w:szCs w:val="36"/>
        </w:rPr>
        <w:tab/>
      </w:r>
      <w:r>
        <w:rPr>
          <w:rFonts w:hint="eastAsia" w:ascii="宋体" w:hAnsi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cs="宋体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</w:rPr>
        <w:fldChar w:fldCharType="end"/>
      </w:r>
      <w:r>
        <w:rPr>
          <w:rFonts w:hint="eastAsia" w:ascii="宋体" w:hAnsi="宋体" w:cs="宋体"/>
          <w:kern w:val="0"/>
          <w:sz w:val="36"/>
          <w:szCs w:val="36"/>
          <w:lang w:val="en-US" w:eastAsia="zh-CN"/>
        </w:rPr>
        <w:t>0</w:t>
      </w:r>
    </w:p>
    <w:p w14:paraId="6EB6FC7B"/>
    <w:p w14:paraId="27BEEFA6">
      <w:pPr>
        <w:keepNext/>
        <w:keepLines/>
        <w:pageBreakBefore/>
        <w:widowControl/>
        <w:kinsoku/>
        <w:wordWrap/>
        <w:overflowPunct/>
        <w:topLinePunct w:val="0"/>
        <w:bidi w:val="0"/>
        <w:snapToGrid/>
        <w:spacing w:before="156" w:beforeLines="50" w:after="120" w:line="560" w:lineRule="exact"/>
        <w:jc w:val="center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bookmarkStart w:id="0" w:name="_Toc25018"/>
      <w:bookmarkStart w:id="1" w:name="_Toc19857"/>
      <w:bookmarkStart w:id="2" w:name="_Toc10076579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第一章  竞争性谈判公告</w:t>
      </w:r>
      <w:bookmarkEnd w:id="0"/>
      <w:bookmarkEnd w:id="1"/>
      <w:bookmarkEnd w:id="2"/>
    </w:p>
    <w:p w14:paraId="440F205D">
      <w:p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泉州济钢高科技有限公司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板材砂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/>
        </w:rPr>
        <w:t>产品运输服务</w:t>
      </w:r>
    </w:p>
    <w:p w14:paraId="3F7DF1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竞争性谈判编号：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1253260611001</w:t>
      </w:r>
      <w:bookmarkStart w:id="4" w:name="_GoBack"/>
      <w:bookmarkEnd w:id="4"/>
    </w:p>
    <w:p w14:paraId="0416E838">
      <w:pPr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竞争性谈判名称：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泉州济钢高科技有限公司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板材砂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产品运输服务</w:t>
      </w:r>
    </w:p>
    <w:p w14:paraId="74AE3FDB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三、项目概况与招标范围</w:t>
      </w:r>
    </w:p>
    <w:p w14:paraId="7B74BA0F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1、项目地点：</w:t>
      </w:r>
      <w:bookmarkStart w:id="3" w:name="_Hlk111061721"/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福建省泉州市泉港区泉州济钢高科技有限公司厂区</w:t>
      </w:r>
    </w:p>
    <w:bookmarkEnd w:id="3"/>
    <w:p w14:paraId="54D9C8F6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"/>
        </w:rPr>
        <w:t>服务期限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个月</w:t>
      </w:r>
    </w:p>
    <w:p w14:paraId="0684266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3、招标范围：此次竞争性谈判采购范围为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eastAsia="zh-CN"/>
        </w:rPr>
        <w:t>公司指定的作业范围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（详见附件）</w:t>
      </w:r>
    </w:p>
    <w:p w14:paraId="4C65A366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4、运输区间：泉州济钢高科技有限公司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厂区到福建水头区域板材厂。</w:t>
      </w:r>
    </w:p>
    <w:p w14:paraId="4A6B13EC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四、参与人资格要求</w:t>
      </w:r>
    </w:p>
    <w:p w14:paraId="6B1528B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1.参与人为依法登记注册的独立法人，具有独立承担民事责任的能力；具有一般纳税人资格或小规模纳税人资格；</w:t>
      </w:r>
    </w:p>
    <w:p w14:paraId="0B7CC6E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2.需具备运输资质、国六标准运输车辆和运输安全环保管理能力，能够开具正规的增值税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专用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发票（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含税9%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）；每月运输能力在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吨以上，能够满足我公司发货需求；</w:t>
      </w:r>
    </w:p>
    <w:p w14:paraId="4D4C67D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3.承担货损、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延误损失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和各种扣款损失；</w:t>
      </w:r>
    </w:p>
    <w:p w14:paraId="388D957C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4.具有良好的企业信誉和健全的财务会计制度；</w:t>
      </w:r>
    </w:p>
    <w:p w14:paraId="118A2B67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5.具有履行合同必需的设备、专业技术、资质能力；</w:t>
      </w:r>
    </w:p>
    <w:p w14:paraId="43FAE5BC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6.有依法缴纳税收和社会保障金的良好纪录；</w:t>
      </w:r>
    </w:p>
    <w:p w14:paraId="25BE51C7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7.在济钢集团内经营活动中没有违法记录；</w:t>
      </w:r>
    </w:p>
    <w:p w14:paraId="32A5E93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8.不接受联合体参与；</w:t>
      </w:r>
    </w:p>
    <w:p w14:paraId="30A5576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9.参与人的单位必须提供原件到现场审核；</w:t>
      </w:r>
    </w:p>
    <w:p w14:paraId="0021E92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10.如有单位资料造假，一经发现，立即在网上公示，并永久取消参与资格。</w:t>
      </w:r>
    </w:p>
    <w:p w14:paraId="5D2E716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 xml:space="preserve">五、公告及报名时间 </w:t>
      </w:r>
    </w:p>
    <w:p w14:paraId="06B6628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1、报名方式：登录www.jigang.com.cn—济钢集团有限公司阳光购销平台或 bidding.jigang.com.cn (网上报名)；使用指南可在网站首页“帮助中心”下载。</w:t>
      </w:r>
    </w:p>
    <w:p w14:paraId="0A0D414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2、公告和报名时间：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日至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 xml:space="preserve">日 </w:t>
      </w:r>
    </w:p>
    <w:p w14:paraId="65F76B2B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六、竞争性谈判文件:</w:t>
      </w:r>
    </w:p>
    <w:p w14:paraId="4013FAF2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1、发布谈判文件开始时间：20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日；</w:t>
      </w:r>
    </w:p>
    <w:p w14:paraId="56C3E31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2、获取方式：缴纳参与保证金后，阳光购销平台或 bidding.jigang.com.cn 获取电子版，不提供纸质版。</w:t>
      </w:r>
    </w:p>
    <w:p w14:paraId="43F5F2ED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3、售价：谈判文件免费。</w:t>
      </w:r>
    </w:p>
    <w:p w14:paraId="3DFE437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谈判时间：202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时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分（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en-US" w:eastAsia="zh-CN"/>
        </w:rPr>
        <w:t>现场谈判）</w:t>
      </w:r>
    </w:p>
    <w:p w14:paraId="40959D8A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七、参与保证金：人民币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仟元整；</w:t>
      </w:r>
    </w:p>
    <w:p w14:paraId="3ADAB15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1、参与保证金最后缴纳日期：202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时。逾期缴纳的，参与将被拒绝。</w:t>
      </w:r>
    </w:p>
    <w:p w14:paraId="7CF7C78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2、参与保证金应从参与人银行基本账户内转出或汇出，为方便退还不出具收据。交款注明招标编号及款项性质（参与保证金）。</w:t>
      </w:r>
    </w:p>
    <w:p w14:paraId="1929D8C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3、缴纳参与保证金账户信息：</w:t>
      </w:r>
    </w:p>
    <w:p w14:paraId="0C193444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名  称：泉州济钢高科技有限公司</w:t>
      </w:r>
    </w:p>
    <w:p w14:paraId="3455EDBE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TW" w:eastAsia="zh-CN"/>
        </w:rPr>
        <w:t>开户行：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中国工商银行泉州市泉港支行</w:t>
      </w:r>
    </w:p>
    <w:p w14:paraId="724284D5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账  号：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1408011209601047497</w:t>
      </w:r>
    </w:p>
    <w:p w14:paraId="092343E1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行  号：</w:t>
      </w:r>
      <w:r>
        <w:rPr>
          <w:rFonts w:hint="eastAsia" w:ascii="仿宋_GB2312" w:hAnsi="仿宋_GB2312" w:eastAsia="仿宋_GB2312" w:cs="仿宋_GB2312"/>
          <w:b/>
          <w:bCs/>
          <w:spacing w:val="-6"/>
          <w:kern w:val="0"/>
          <w:sz w:val="32"/>
          <w:szCs w:val="32"/>
          <w:lang w:val="zh-CN" w:eastAsia="zh-CN"/>
        </w:rPr>
        <w:t>102397121121</w:t>
      </w:r>
    </w:p>
    <w:p w14:paraId="74D89E6F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4、参与保证金在合同签订后15日内原账户无息退还。</w:t>
      </w:r>
    </w:p>
    <w:p w14:paraId="47CD1FA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5、在递交参与文件时，携带参与保证金交款回单，以备查验。</w:t>
      </w:r>
    </w:p>
    <w:p w14:paraId="1F29FFA0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八、参与文件的递交</w:t>
      </w:r>
    </w:p>
    <w:p w14:paraId="27472E13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1、参与文件递交的截止时间及谈判时间另行通知。</w:t>
      </w:r>
    </w:p>
    <w:p w14:paraId="06E83BDA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2、逾期送达的、未送达指定地点的或者不按照竞争性谈判文件要求密封的参与文件，招标人将予以拒收。</w:t>
      </w:r>
    </w:p>
    <w:p w14:paraId="6F933ED5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九、资格审查方式</w:t>
      </w:r>
    </w:p>
    <w:p w14:paraId="256FA7BD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资格后审;竞争性谈判会议开始后，竞争性谈判委员会对参与单位的资质文件进行评审。评审合格的进入下一阶段评审；评审不合格的作废处理，参与文件将被退回。</w:t>
      </w:r>
    </w:p>
    <w:p w14:paraId="4FA6EE13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十、发布公告的媒介</w:t>
      </w:r>
    </w:p>
    <w:p w14:paraId="190CC2B9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本次谈判公告在济钢集团阳光采购与管理信息平台上发布。</w:t>
      </w:r>
    </w:p>
    <w:p w14:paraId="35847136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十一、联系方式及谈判时间</w:t>
      </w:r>
    </w:p>
    <w:p w14:paraId="524E44B0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1、招标联系人：郑工，联系电话：15098838165；</w:t>
      </w:r>
    </w:p>
    <w:p w14:paraId="21614352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default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2、业务（技术）联系人：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马工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，联系电话：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/>
        </w:rPr>
        <w:t>18159518069</w:t>
      </w:r>
    </w:p>
    <w:p w14:paraId="66D47B88">
      <w:pPr>
        <w:pStyle w:val="3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616" w:firstLineChars="200"/>
        <w:jc w:val="both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/>
        </w:rPr>
        <w:t>谈判时间另行电话通知，地点为泉州济钢高科技有限公司一楼东会议室。</w:t>
      </w:r>
    </w:p>
    <w:p w14:paraId="43A6E85E">
      <w:pPr>
        <w:pStyle w:val="2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beforeAutospacing="0" w:after="0" w:afterLines="0" w:afterAutospacing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CN" w:eastAsia="zh-CN"/>
        </w:rPr>
        <w:t>十二、谈判内容和其他要求以最终的谈判文件为准</w:t>
      </w:r>
    </w:p>
    <w:p w14:paraId="2ADAC37F">
      <w:pPr>
        <w:kinsoku/>
        <w:wordWrap/>
        <w:overflowPunct/>
        <w:topLinePunct w:val="0"/>
        <w:bidi w:val="0"/>
        <w:snapToGrid/>
        <w:spacing w:line="560" w:lineRule="exact"/>
        <w:ind w:firstLine="5390" w:firstLineChars="175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泉州济钢高科技有限公司</w:t>
      </w:r>
    </w:p>
    <w:p w14:paraId="0F800DC0">
      <w:pPr>
        <w:kinsoku/>
        <w:wordWrap/>
        <w:overflowPunct/>
        <w:topLinePunct w:val="0"/>
        <w:bidi w:val="0"/>
        <w:snapToGrid/>
        <w:spacing w:line="560" w:lineRule="exact"/>
        <w:ind w:firstLine="6160" w:firstLineChars="2000"/>
        <w:textAlignment w:val="auto"/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202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lang w:val="zh-CN" w:eastAsia="zh-CN" w:bidi="ar-SA"/>
        </w:rPr>
        <w:t xml:space="preserve">日 </w:t>
      </w:r>
    </w:p>
    <w:p w14:paraId="735988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7F6C0B"/>
    <w:multiLevelType w:val="singleLevel"/>
    <w:tmpl w:val="747F6C0B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7E56D5"/>
    <w:rsid w:val="098342BD"/>
    <w:rsid w:val="1F6D501F"/>
    <w:rsid w:val="397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4">
    <w:name w:val="toc 1"/>
    <w:basedOn w:val="1"/>
    <w:next w:val="1"/>
    <w:qFormat/>
    <w:uiPriority w:val="99"/>
    <w:pPr>
      <w:spacing w:before="120" w:after="120"/>
      <w:jc w:val="left"/>
    </w:pPr>
    <w:rPr>
      <w:rFonts w:cs="Calibri"/>
      <w:b/>
      <w:bCs/>
      <w: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1278</Words>
  <Characters>1426</Characters>
  <Lines>0</Lines>
  <Paragraphs>0</Paragraphs>
  <TotalTime>0</TotalTime>
  <ScaleCrop>false</ScaleCrop>
  <LinksUpToDate>false</LinksUpToDate>
  <CharactersWithSpaces>1464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2026-06-11T02:49:00Z</dcterms:created>
  <dc:creator>换个名字吧</dc:creator>
  <cp:lastModifiedBy>换个名字吧</cp:lastModifiedBy>
  <dcterms:modified xsi:type="dcterms:W3CDTF">2026-06-11T03:19:50Z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BCB2934605574E6B9A269222E932A7F9_11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